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EAB9" w14:textId="23A0D1E3" w:rsidR="00965AE3" w:rsidRDefault="00965AE3" w:rsidP="00965AE3">
      <w:pPr>
        <w:rPr>
          <w:b/>
          <w:bCs/>
        </w:rPr>
      </w:pPr>
      <w:r>
        <w:rPr>
          <w:b/>
          <w:bCs/>
        </w:rPr>
        <w:t>Government issues workplace guidance in England to control COVID-19 infection</w:t>
      </w:r>
    </w:p>
    <w:p w14:paraId="2D548D34" w14:textId="2CAEE63F" w:rsidR="00965AE3" w:rsidRPr="00C538A5" w:rsidRDefault="001B2ACF" w:rsidP="00965AE3">
      <w:pPr>
        <w:rPr>
          <w:i/>
          <w:iCs/>
        </w:rPr>
      </w:pPr>
      <w:r w:rsidRPr="00C538A5">
        <w:rPr>
          <w:i/>
          <w:iCs/>
        </w:rPr>
        <w:t>Following the launch of</w:t>
      </w:r>
      <w:r w:rsidR="00965AE3" w:rsidRPr="00C538A5">
        <w:rPr>
          <w:i/>
          <w:iCs/>
        </w:rPr>
        <w:t xml:space="preserve"> the Government</w:t>
      </w:r>
      <w:r w:rsidRPr="00C538A5">
        <w:rPr>
          <w:i/>
          <w:iCs/>
        </w:rPr>
        <w:t>’</w:t>
      </w:r>
      <w:r w:rsidR="00965AE3" w:rsidRPr="00C538A5">
        <w:rPr>
          <w:i/>
          <w:iCs/>
        </w:rPr>
        <w:t xml:space="preserve">s test and trace service it has issued workplace guidance in England to control the spread of the COVID-19 </w:t>
      </w:r>
      <w:r w:rsidRPr="00C538A5">
        <w:rPr>
          <w:i/>
          <w:iCs/>
        </w:rPr>
        <w:t>infection.</w:t>
      </w:r>
    </w:p>
    <w:p w14:paraId="2C6F1146" w14:textId="6758E7A8" w:rsidR="001B2ACF" w:rsidRPr="00C538A5" w:rsidRDefault="001B2ACF" w:rsidP="00965AE3">
      <w:r w:rsidRPr="00C538A5">
        <w:t>From today people in England will be able to meet outside with six others from different households</w:t>
      </w:r>
      <w:r w:rsidR="008F6C13" w:rsidRPr="00C538A5">
        <w:t xml:space="preserve"> and some children will begin returning to school</w:t>
      </w:r>
      <w:r w:rsidRPr="00C538A5">
        <w:t>. However, the Government</w:t>
      </w:r>
      <w:r w:rsidR="008F6C13" w:rsidRPr="00C538A5">
        <w:t xml:space="preserve"> </w:t>
      </w:r>
      <w:r w:rsidRPr="00C538A5">
        <w:t xml:space="preserve">wants people to continue following its health and safety advice </w:t>
      </w:r>
      <w:r w:rsidR="008F6C13" w:rsidRPr="00C538A5">
        <w:t>to ensure control of the</w:t>
      </w:r>
      <w:r w:rsidRPr="00C538A5">
        <w:t xml:space="preserve"> </w:t>
      </w:r>
      <w:r w:rsidR="008F6C13">
        <w:t>infection,</w:t>
      </w:r>
      <w:r w:rsidR="008F6C13" w:rsidRPr="00C538A5">
        <w:t xml:space="preserve"> avoid a second </w:t>
      </w:r>
      <w:r w:rsidR="008F6C13">
        <w:t>spike, and to avoid overwhelming the NHS</w:t>
      </w:r>
      <w:r w:rsidRPr="00C538A5">
        <w:t xml:space="preserve">. The NHS test and trace </w:t>
      </w:r>
      <w:r w:rsidR="008F6C13" w:rsidRPr="00C538A5">
        <w:t>service will be a vital component of th</w:t>
      </w:r>
      <w:r w:rsidR="008F6C13">
        <w:t xml:space="preserve">is COVID-19 recovery strategy as it will provide an </w:t>
      </w:r>
      <w:r w:rsidR="008F6C13" w:rsidRPr="00965AE3">
        <w:t>early warning if COVID-19 activity</w:t>
      </w:r>
      <w:r w:rsidR="008F6C13">
        <w:t xml:space="preserve"> increases.</w:t>
      </w:r>
      <w:r w:rsidR="008F6C13" w:rsidRPr="00C538A5">
        <w:t xml:space="preserve"> </w:t>
      </w:r>
    </w:p>
    <w:p w14:paraId="747FE439" w14:textId="37A0214B" w:rsidR="008F6C13" w:rsidRPr="00C538A5" w:rsidRDefault="008F6C13" w:rsidP="00965AE3">
      <w:r w:rsidRPr="00C538A5">
        <w:t>The guidance issued applies to England only, as Wales, Scotland, and Northern Ireland are taking their own measures.</w:t>
      </w:r>
    </w:p>
    <w:p w14:paraId="152A1177" w14:textId="1CEC901B" w:rsidR="008F6C13" w:rsidRDefault="00B07D10" w:rsidP="00965AE3">
      <w:pPr>
        <w:rPr>
          <w:b/>
          <w:bCs/>
        </w:rPr>
      </w:pPr>
      <w:r>
        <w:rPr>
          <w:b/>
          <w:bCs/>
        </w:rPr>
        <w:t>Infection control g</w:t>
      </w:r>
      <w:r w:rsidR="00D366BC">
        <w:rPr>
          <w:b/>
          <w:bCs/>
        </w:rPr>
        <w:t>uidance for employers in England</w:t>
      </w:r>
    </w:p>
    <w:p w14:paraId="728FCBC5" w14:textId="5385AAD7" w:rsidR="008F6C13" w:rsidRDefault="008F6C13" w:rsidP="008F6C13">
      <w:r w:rsidRPr="00C538A5">
        <w:t xml:space="preserve">The Government’s guidance sets out how businesses and employers can </w:t>
      </w:r>
      <w:r w:rsidR="00D366BC">
        <w:t>support</w:t>
      </w:r>
      <w:r w:rsidRPr="00C538A5">
        <w:t xml:space="preserve"> the test and trace system to help ‘</w:t>
      </w:r>
      <w:r w:rsidRPr="00C538A5">
        <w:t>slow the spread of the virus, protect the health and care system and save lives</w:t>
      </w:r>
      <w:r>
        <w:t>’, and highlights how it should be used in conjunction with its ‘</w:t>
      </w:r>
      <w:hyperlink r:id="rId5" w:history="1">
        <w:r>
          <w:rPr>
            <w:rStyle w:val="Hyperlink"/>
          </w:rPr>
          <w:t>w</w:t>
        </w:r>
        <w:r w:rsidRPr="00965AE3">
          <w:rPr>
            <w:rStyle w:val="Hyperlink"/>
          </w:rPr>
          <w:t>orking safely during coronavirus (COVID-19)</w:t>
        </w:r>
      </w:hyperlink>
      <w:r>
        <w:t>’ guidance</w:t>
      </w:r>
      <w:r w:rsidRPr="00965AE3">
        <w:t>.</w:t>
      </w:r>
      <w:r>
        <w:t xml:space="preserve"> (</w:t>
      </w:r>
      <w:hyperlink r:id="rId6" w:history="1">
        <w:r>
          <w:rPr>
            <w:rStyle w:val="Hyperlink"/>
          </w:rPr>
          <w:t>https://www.gov.uk/guidance/working-safely-during-coronavirus-covid-19</w:t>
        </w:r>
      </w:hyperlink>
      <w:r>
        <w:t>)</w:t>
      </w:r>
    </w:p>
    <w:p w14:paraId="3FD4FCB5" w14:textId="77777777" w:rsidR="00D366BC" w:rsidRDefault="00D366BC" w:rsidP="00D366BC">
      <w:r>
        <w:t>Beyond its own employees, the Government reminds employers they are also responsible for health and safety of others who may be affected in the business, such as contract workers,</w:t>
      </w:r>
      <w:r w:rsidRPr="00965AE3">
        <w:t xml:space="preserve"> agency workers, customers, </w:t>
      </w:r>
      <w:r>
        <w:t xml:space="preserve">and </w:t>
      </w:r>
      <w:r w:rsidRPr="00965AE3">
        <w:t>suppliers</w:t>
      </w:r>
      <w:r>
        <w:t xml:space="preserve">. The guidance emphasises that all employers must make the workplace as safe as possible and encourage workers to follow any notifications to self-isolate – supporting them whilst in isolation. </w:t>
      </w:r>
    </w:p>
    <w:p w14:paraId="6298A053" w14:textId="7E3C5ED9" w:rsidR="00D366BC" w:rsidRDefault="00D366BC" w:rsidP="00D366BC">
      <w:r>
        <w:t>The NHS test and trace system will be supporting employers in this by providing tests for anyone with symptoms of COVID-19 and alerting anyone who has been in contact with someone who has tested positive. To facilitate this, anyone who receives a positive test results will be asked to</w:t>
      </w:r>
      <w:r w:rsidRPr="00965AE3">
        <w:t xml:space="preserve"> share </w:t>
      </w:r>
      <w:r>
        <w:t xml:space="preserve">information about anyone they have recently been in contact with. </w:t>
      </w:r>
    </w:p>
    <w:p w14:paraId="6D0F9A66" w14:textId="6BFC4558" w:rsidR="00D366BC" w:rsidRPr="00C538A5" w:rsidRDefault="00A167A6" w:rsidP="00D366BC">
      <w:pPr>
        <w:rPr>
          <w:b/>
          <w:bCs/>
        </w:rPr>
      </w:pPr>
      <w:r w:rsidRPr="00C538A5">
        <w:rPr>
          <w:b/>
          <w:bCs/>
        </w:rPr>
        <w:t>Five steps for working safely</w:t>
      </w:r>
    </w:p>
    <w:p w14:paraId="656F183A" w14:textId="3F2550BF" w:rsidR="008F6C13" w:rsidRDefault="00A167A6" w:rsidP="008F6C13">
      <w:r>
        <w:t xml:space="preserve">As part of the guidance, employers are encouraged to follow the Government’s ‘Five steps for working safely’ advice. </w:t>
      </w:r>
    </w:p>
    <w:p w14:paraId="1597773F" w14:textId="3949DEC2" w:rsidR="00A167A6" w:rsidRDefault="00A167A6" w:rsidP="008F6C13">
      <w:r>
        <w:t>The five steps include:</w:t>
      </w:r>
    </w:p>
    <w:p w14:paraId="6EC1FEEC" w14:textId="77777777" w:rsidR="00A167A6" w:rsidRPr="00965AE3" w:rsidRDefault="00A167A6" w:rsidP="00A167A6">
      <w:r w:rsidRPr="00C538A5">
        <w:t>1. Carry out a COVID-19 risk assessment</w:t>
      </w:r>
      <w:r>
        <w:br/>
        <w:t xml:space="preserve">2. </w:t>
      </w:r>
      <w:r w:rsidRPr="00C538A5">
        <w:t>Develop cleaning, handwashing</w:t>
      </w:r>
      <w:r>
        <w:t>,</w:t>
      </w:r>
      <w:r w:rsidRPr="00C538A5">
        <w:t xml:space="preserve"> and hygiene procedures</w:t>
      </w:r>
      <w:r>
        <w:br/>
      </w:r>
      <w:r w:rsidRPr="00C538A5">
        <w:t>3. Help people to work from home</w:t>
      </w:r>
      <w:r>
        <w:br/>
      </w:r>
      <w:r w:rsidRPr="00C538A5">
        <w:t>4. Maintain 2m social distancing, where possible</w:t>
      </w:r>
      <w:r>
        <w:br/>
      </w:r>
      <w:r w:rsidRPr="00C538A5">
        <w:t>5. Where people cannot be 2m apart, manage transmission risk</w:t>
      </w:r>
      <w:r>
        <w:br/>
      </w:r>
      <w:r>
        <w:br/>
        <w:t>The guidance states: ‘</w:t>
      </w:r>
      <w:r w:rsidRPr="00965AE3">
        <w:t>The measures employers put in place to maintain social distancing will depend on their individual business circumstances, including their working environment, the size of the site and the number of workers. The guidance will support employers to make an informed decision.</w:t>
      </w:r>
    </w:p>
    <w:p w14:paraId="75CF6609" w14:textId="176AB145" w:rsidR="00A167A6" w:rsidRDefault="00A167A6" w:rsidP="00A167A6">
      <w:r>
        <w:t>‘</w:t>
      </w:r>
      <w:r w:rsidRPr="00965AE3">
        <w:t>The NHS test and trace service does not change the existing guidance about working from home wherever possible.</w:t>
      </w:r>
      <w:r>
        <w:t>’</w:t>
      </w:r>
    </w:p>
    <w:p w14:paraId="731F65B3" w14:textId="372DCEA5" w:rsidR="000D1C37" w:rsidRDefault="000D1C37" w:rsidP="00A167A6">
      <w:r>
        <w:t xml:space="preserve">The guidance also reminds employers that they </w:t>
      </w:r>
      <w:r w:rsidRPr="00965AE3">
        <w:t xml:space="preserve">have a duty to </w:t>
      </w:r>
      <w:r>
        <w:t>‘</w:t>
      </w:r>
      <w:r w:rsidRPr="00965AE3">
        <w:t>consult their workers, and unions where applicable, as part of their risk assessment</w:t>
      </w:r>
      <w:r>
        <w:t>’</w:t>
      </w:r>
      <w:r w:rsidRPr="00965AE3">
        <w:t>.</w:t>
      </w:r>
    </w:p>
    <w:p w14:paraId="17896493" w14:textId="7145430F" w:rsidR="00965AE3" w:rsidRDefault="00A167A6" w:rsidP="00965AE3">
      <w:r w:rsidRPr="00C538A5">
        <w:lastRenderedPageBreak/>
        <w:t>It has also issued sector specific guidance</w:t>
      </w:r>
      <w:r>
        <w:t xml:space="preserve"> (</w:t>
      </w:r>
      <w:hyperlink r:id="rId7" w:history="1">
        <w:r w:rsidRPr="00A167A6">
          <w:rPr>
            <w:rStyle w:val="Hyperlink"/>
          </w:rPr>
          <w:t>https://www.gov.uk/guidance/working-safely-during-coronavirus-covid-19</w:t>
        </w:r>
      </w:hyperlink>
      <w:r>
        <w:t xml:space="preserve">) covering construction sites, factories, labs, restaurants, shops, homes, and vehicles to ensure </w:t>
      </w:r>
      <w:r w:rsidR="000D1C37">
        <w:t xml:space="preserve">safety guidance is followed in every setting. </w:t>
      </w:r>
    </w:p>
    <w:p w14:paraId="092A887E" w14:textId="5D39C3CD" w:rsidR="000D1C37" w:rsidRPr="00C538A5" w:rsidRDefault="000D1C37" w:rsidP="00965AE3">
      <w:pPr>
        <w:rPr>
          <w:b/>
          <w:bCs/>
        </w:rPr>
      </w:pPr>
      <w:r w:rsidRPr="00C538A5">
        <w:rPr>
          <w:b/>
          <w:bCs/>
        </w:rPr>
        <w:t>Workplace risks</w:t>
      </w:r>
    </w:p>
    <w:p w14:paraId="0C19729B" w14:textId="0C3A376C" w:rsidR="000D1C37" w:rsidRDefault="000D1C37" w:rsidP="00965AE3">
      <w:r>
        <w:t xml:space="preserve">The test and trace service will be supporting employers if an outbreak of COVID-19 occurs with an outbreak control team from either the local authority of Public Health England. </w:t>
      </w:r>
    </w:p>
    <w:p w14:paraId="655C1538" w14:textId="75C88FEE" w:rsidR="000D1C37" w:rsidRPr="00965AE3" w:rsidRDefault="000D1C37" w:rsidP="00B07D10">
      <w:r>
        <w:t>If employees contract the virus and need to self-isolate employers must support them and must not ask them to attend the workplace but</w:t>
      </w:r>
      <w:r w:rsidRPr="00965AE3">
        <w:t xml:space="preserve"> should support workers who need to self-isolate</w:t>
      </w:r>
      <w:r w:rsidR="00B07D10">
        <w:t>.</w:t>
      </w:r>
    </w:p>
    <w:p w14:paraId="342FE771" w14:textId="546C9007" w:rsidR="00B07D10" w:rsidRPr="00C538A5" w:rsidRDefault="00B07D10" w:rsidP="00B07D10">
      <w:r w:rsidRPr="00C538A5">
        <w:t>Self</w:t>
      </w:r>
      <w:r w:rsidRPr="00C538A5">
        <w:t>-employed people</w:t>
      </w:r>
      <w:r>
        <w:t xml:space="preserve"> have also been advised to continue working from home to help control the spread of the infection. If this is not possible it encourages the self-employed to follow the ‘Five steps for working safely’ advice and offers further information on grant eligibility.</w:t>
      </w:r>
    </w:p>
    <w:p w14:paraId="78768490" w14:textId="77777777" w:rsidR="00C538A5" w:rsidRDefault="00B07D10" w:rsidP="00965AE3">
      <w:r>
        <w:t>Self-isolation</w:t>
      </w:r>
      <w:r w:rsidR="00C538A5">
        <w:t>, financial help,</w:t>
      </w:r>
      <w:r>
        <w:t xml:space="preserve"> and NHS test and trace guidance is also issued for workers, stating that: ‘</w:t>
      </w:r>
      <w:r w:rsidRPr="00965AE3">
        <w:t>Workers who think the contacts that have triggered these notifications are workplace contacts, should ask their employer to consider what further mitigating actions could be taken to reduce the risk of COVID-19, such as using screens to separate people or ‘</w:t>
      </w:r>
      <w:proofErr w:type="spellStart"/>
      <w:r w:rsidRPr="00965AE3">
        <w:t>cohorting</w:t>
      </w:r>
      <w:proofErr w:type="spellEnd"/>
      <w:r w:rsidRPr="00965AE3">
        <w:t>’ to reduce the number of people each person has contact with.</w:t>
      </w:r>
      <w:r>
        <w:t xml:space="preserve">’ </w:t>
      </w:r>
    </w:p>
    <w:p w14:paraId="17573A4A" w14:textId="0C10B82E" w:rsidR="00B07D10" w:rsidRPr="00C538A5" w:rsidRDefault="00B07D10" w:rsidP="00965AE3">
      <w:r>
        <w:t xml:space="preserve">More information on the guidance can be found at </w:t>
      </w:r>
      <w:hyperlink r:id="rId8" w:history="1">
        <w:r>
          <w:rPr>
            <w:rStyle w:val="Hyperlink"/>
          </w:rPr>
          <w:t>www.gov.uk/guidance/nhs-test-and-trace-workplace-guidance</w:t>
        </w:r>
      </w:hyperlink>
      <w:r>
        <w:t>.</w:t>
      </w:r>
    </w:p>
    <w:p w14:paraId="7E604834" w14:textId="2DF5BC97" w:rsidR="00965AE3" w:rsidRPr="00965AE3" w:rsidRDefault="00C538A5" w:rsidP="00C538A5">
      <w:r w:rsidRPr="00965AE3">
        <w:t xml:space="preserve"> </w:t>
      </w:r>
    </w:p>
    <w:p w14:paraId="5D9D33B7" w14:textId="77777777" w:rsidR="00AC7B36" w:rsidRDefault="00AC7B36"/>
    <w:sectPr w:rsidR="00AC7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522C"/>
    <w:multiLevelType w:val="multilevel"/>
    <w:tmpl w:val="67D0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07F89"/>
    <w:multiLevelType w:val="multilevel"/>
    <w:tmpl w:val="E23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D6D99"/>
    <w:multiLevelType w:val="multilevel"/>
    <w:tmpl w:val="8EEC7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353A5"/>
    <w:multiLevelType w:val="multilevel"/>
    <w:tmpl w:val="2AA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A39EE"/>
    <w:multiLevelType w:val="multilevel"/>
    <w:tmpl w:val="1D44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10099"/>
    <w:multiLevelType w:val="multilevel"/>
    <w:tmpl w:val="4D9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0A5500"/>
    <w:multiLevelType w:val="multilevel"/>
    <w:tmpl w:val="370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338F4"/>
    <w:multiLevelType w:val="multilevel"/>
    <w:tmpl w:val="32EA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8082E"/>
    <w:multiLevelType w:val="multilevel"/>
    <w:tmpl w:val="1AD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7B4386"/>
    <w:multiLevelType w:val="multilevel"/>
    <w:tmpl w:val="431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8"/>
  </w:num>
  <w:num w:numId="4">
    <w:abstractNumId w:val="9"/>
  </w:num>
  <w:num w:numId="5">
    <w:abstractNumId w:val="3"/>
  </w:num>
  <w:num w:numId="6">
    <w:abstractNumId w:val="5"/>
  </w:num>
  <w:num w:numId="7">
    <w:abstractNumId w:val="1"/>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E3"/>
    <w:rsid w:val="000D1C37"/>
    <w:rsid w:val="001B2ACF"/>
    <w:rsid w:val="008F6C13"/>
    <w:rsid w:val="00965AE3"/>
    <w:rsid w:val="00A167A6"/>
    <w:rsid w:val="00AC7B36"/>
    <w:rsid w:val="00B07D10"/>
    <w:rsid w:val="00C538A5"/>
    <w:rsid w:val="00D3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7456"/>
  <w15:chartTrackingRefBased/>
  <w15:docId w15:val="{FE1B85CE-80DC-4820-9801-590BB405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AE3"/>
    <w:rPr>
      <w:color w:val="0563C1" w:themeColor="hyperlink"/>
      <w:u w:val="single"/>
    </w:rPr>
  </w:style>
  <w:style w:type="character" w:styleId="UnresolvedMention">
    <w:name w:val="Unresolved Mention"/>
    <w:basedOn w:val="DefaultParagraphFont"/>
    <w:uiPriority w:val="99"/>
    <w:semiHidden/>
    <w:unhideWhenUsed/>
    <w:rsid w:val="00965AE3"/>
    <w:rPr>
      <w:color w:val="605E5C"/>
      <w:shd w:val="clear" w:color="auto" w:fill="E1DFDD"/>
    </w:rPr>
  </w:style>
  <w:style w:type="paragraph" w:styleId="BalloonText">
    <w:name w:val="Balloon Text"/>
    <w:basedOn w:val="Normal"/>
    <w:link w:val="BalloonTextChar"/>
    <w:uiPriority w:val="99"/>
    <w:semiHidden/>
    <w:unhideWhenUsed/>
    <w:rsid w:val="008F6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13"/>
    <w:rPr>
      <w:rFonts w:ascii="Segoe UI" w:hAnsi="Segoe UI" w:cs="Segoe UI"/>
      <w:sz w:val="18"/>
      <w:szCs w:val="18"/>
    </w:rPr>
  </w:style>
  <w:style w:type="character" w:styleId="FollowedHyperlink">
    <w:name w:val="FollowedHyperlink"/>
    <w:basedOn w:val="DefaultParagraphFont"/>
    <w:uiPriority w:val="99"/>
    <w:semiHidden/>
    <w:unhideWhenUsed/>
    <w:rsid w:val="008F6C13"/>
    <w:rPr>
      <w:color w:val="954F72" w:themeColor="followedHyperlink"/>
      <w:u w:val="single"/>
    </w:rPr>
  </w:style>
  <w:style w:type="paragraph" w:styleId="ListParagraph">
    <w:name w:val="List Paragraph"/>
    <w:basedOn w:val="Normal"/>
    <w:uiPriority w:val="34"/>
    <w:qFormat/>
    <w:rsid w:val="00A167A6"/>
    <w:pPr>
      <w:ind w:left="720"/>
      <w:contextualSpacing/>
    </w:pPr>
  </w:style>
  <w:style w:type="paragraph" w:styleId="NormalWeb">
    <w:name w:val="Normal (Web)"/>
    <w:basedOn w:val="Normal"/>
    <w:uiPriority w:val="99"/>
    <w:semiHidden/>
    <w:unhideWhenUsed/>
    <w:rsid w:val="00A167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50253">
      <w:bodyDiv w:val="1"/>
      <w:marLeft w:val="0"/>
      <w:marRight w:val="0"/>
      <w:marTop w:val="0"/>
      <w:marBottom w:val="0"/>
      <w:divBdr>
        <w:top w:val="none" w:sz="0" w:space="0" w:color="auto"/>
        <w:left w:val="none" w:sz="0" w:space="0" w:color="auto"/>
        <w:bottom w:val="none" w:sz="0" w:space="0" w:color="auto"/>
        <w:right w:val="none" w:sz="0" w:space="0" w:color="auto"/>
      </w:divBdr>
    </w:div>
    <w:div w:id="1312325432">
      <w:bodyDiv w:val="1"/>
      <w:marLeft w:val="0"/>
      <w:marRight w:val="0"/>
      <w:marTop w:val="0"/>
      <w:marBottom w:val="0"/>
      <w:divBdr>
        <w:top w:val="none" w:sz="0" w:space="0" w:color="auto"/>
        <w:left w:val="none" w:sz="0" w:space="0" w:color="auto"/>
        <w:bottom w:val="none" w:sz="0" w:space="0" w:color="auto"/>
        <w:right w:val="none" w:sz="0" w:space="0" w:color="auto"/>
      </w:divBdr>
      <w:divsChild>
        <w:div w:id="779684231">
          <w:marLeft w:val="-225"/>
          <w:marRight w:val="-225"/>
          <w:marTop w:val="0"/>
          <w:marBottom w:val="0"/>
          <w:divBdr>
            <w:top w:val="none" w:sz="0" w:space="0" w:color="auto"/>
            <w:left w:val="none" w:sz="0" w:space="0" w:color="auto"/>
            <w:bottom w:val="none" w:sz="0" w:space="0" w:color="auto"/>
            <w:right w:val="none" w:sz="0" w:space="0" w:color="auto"/>
          </w:divBdr>
          <w:divsChild>
            <w:div w:id="517348941">
              <w:marLeft w:val="0"/>
              <w:marRight w:val="0"/>
              <w:marTop w:val="0"/>
              <w:marBottom w:val="0"/>
              <w:divBdr>
                <w:top w:val="none" w:sz="0" w:space="0" w:color="auto"/>
                <w:left w:val="none" w:sz="0" w:space="0" w:color="auto"/>
                <w:bottom w:val="none" w:sz="0" w:space="0" w:color="auto"/>
                <w:right w:val="none" w:sz="0" w:space="0" w:color="auto"/>
              </w:divBdr>
              <w:divsChild>
                <w:div w:id="1587764098">
                  <w:marLeft w:val="0"/>
                  <w:marRight w:val="0"/>
                  <w:marTop w:val="0"/>
                  <w:marBottom w:val="0"/>
                  <w:divBdr>
                    <w:top w:val="none" w:sz="0" w:space="0" w:color="auto"/>
                    <w:left w:val="none" w:sz="0" w:space="0" w:color="auto"/>
                    <w:bottom w:val="none" w:sz="0" w:space="0" w:color="auto"/>
                    <w:right w:val="none" w:sz="0" w:space="0" w:color="auto"/>
                  </w:divBdr>
                </w:div>
              </w:divsChild>
            </w:div>
            <w:div w:id="1857041246">
              <w:marLeft w:val="0"/>
              <w:marRight w:val="0"/>
              <w:marTop w:val="0"/>
              <w:marBottom w:val="0"/>
              <w:divBdr>
                <w:top w:val="none" w:sz="0" w:space="0" w:color="auto"/>
                <w:left w:val="none" w:sz="0" w:space="0" w:color="auto"/>
                <w:bottom w:val="none" w:sz="0" w:space="0" w:color="auto"/>
                <w:right w:val="none" w:sz="0" w:space="0" w:color="auto"/>
              </w:divBdr>
            </w:div>
          </w:divsChild>
        </w:div>
        <w:div w:id="1263148468">
          <w:marLeft w:val="-225"/>
          <w:marRight w:val="-225"/>
          <w:marTop w:val="0"/>
          <w:marBottom w:val="0"/>
          <w:divBdr>
            <w:top w:val="none" w:sz="0" w:space="0" w:color="auto"/>
            <w:left w:val="none" w:sz="0" w:space="0" w:color="auto"/>
            <w:bottom w:val="none" w:sz="0" w:space="0" w:color="auto"/>
            <w:right w:val="none" w:sz="0" w:space="0" w:color="auto"/>
          </w:divBdr>
          <w:divsChild>
            <w:div w:id="991366707">
              <w:marLeft w:val="225"/>
              <w:marRight w:val="225"/>
              <w:marTop w:val="0"/>
              <w:marBottom w:val="0"/>
              <w:divBdr>
                <w:top w:val="single" w:sz="6" w:space="0" w:color="B1B4B6"/>
                <w:left w:val="none" w:sz="0" w:space="0" w:color="auto"/>
                <w:bottom w:val="none" w:sz="0" w:space="0" w:color="auto"/>
                <w:right w:val="none" w:sz="0" w:space="0" w:color="auto"/>
              </w:divBdr>
              <w:divsChild>
                <w:div w:id="276984134">
                  <w:marLeft w:val="0"/>
                  <w:marRight w:val="0"/>
                  <w:marTop w:val="0"/>
                  <w:marBottom w:val="0"/>
                  <w:divBdr>
                    <w:top w:val="none" w:sz="0" w:space="0" w:color="auto"/>
                    <w:left w:val="none" w:sz="0" w:space="0" w:color="auto"/>
                    <w:bottom w:val="none" w:sz="0" w:space="0" w:color="auto"/>
                    <w:right w:val="none" w:sz="0" w:space="0" w:color="auto"/>
                  </w:divBdr>
                  <w:divsChild>
                    <w:div w:id="1592280439">
                      <w:marLeft w:val="0"/>
                      <w:marRight w:val="0"/>
                      <w:marTop w:val="0"/>
                      <w:marBottom w:val="750"/>
                      <w:divBdr>
                        <w:top w:val="none" w:sz="0" w:space="0" w:color="auto"/>
                        <w:left w:val="none" w:sz="0" w:space="0" w:color="auto"/>
                        <w:bottom w:val="none" w:sz="0" w:space="0" w:color="auto"/>
                        <w:right w:val="none" w:sz="0" w:space="0" w:color="auto"/>
                      </w:divBdr>
                      <w:divsChild>
                        <w:div w:id="343867636">
                          <w:marLeft w:val="0"/>
                          <w:marRight w:val="0"/>
                          <w:marTop w:val="0"/>
                          <w:marBottom w:val="0"/>
                          <w:divBdr>
                            <w:top w:val="none" w:sz="0" w:space="0" w:color="auto"/>
                            <w:left w:val="none" w:sz="0" w:space="0" w:color="auto"/>
                            <w:bottom w:val="none" w:sz="0" w:space="0" w:color="auto"/>
                            <w:right w:val="none" w:sz="0" w:space="0" w:color="auto"/>
                          </w:divBdr>
                        </w:div>
                        <w:div w:id="6749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983">
          <w:marLeft w:val="-225"/>
          <w:marRight w:val="-225"/>
          <w:marTop w:val="0"/>
          <w:marBottom w:val="0"/>
          <w:divBdr>
            <w:top w:val="none" w:sz="0" w:space="0" w:color="auto"/>
            <w:left w:val="none" w:sz="0" w:space="0" w:color="auto"/>
            <w:bottom w:val="none" w:sz="0" w:space="0" w:color="auto"/>
            <w:right w:val="none" w:sz="0" w:space="0" w:color="auto"/>
          </w:divBdr>
          <w:divsChild>
            <w:div w:id="2113474688">
              <w:marLeft w:val="0"/>
              <w:marRight w:val="0"/>
              <w:marTop w:val="0"/>
              <w:marBottom w:val="0"/>
              <w:divBdr>
                <w:top w:val="none" w:sz="0" w:space="0" w:color="auto"/>
                <w:left w:val="none" w:sz="0" w:space="0" w:color="auto"/>
                <w:bottom w:val="none" w:sz="0" w:space="0" w:color="auto"/>
                <w:right w:val="none" w:sz="0" w:space="0" w:color="auto"/>
              </w:divBdr>
              <w:divsChild>
                <w:div w:id="2145539064">
                  <w:marLeft w:val="0"/>
                  <w:marRight w:val="0"/>
                  <w:marTop w:val="0"/>
                  <w:marBottom w:val="0"/>
                  <w:divBdr>
                    <w:top w:val="none" w:sz="0" w:space="0" w:color="auto"/>
                    <w:left w:val="none" w:sz="0" w:space="0" w:color="auto"/>
                    <w:bottom w:val="none" w:sz="0" w:space="0" w:color="auto"/>
                    <w:right w:val="none" w:sz="0" w:space="0" w:color="auto"/>
                  </w:divBdr>
                  <w:divsChild>
                    <w:div w:id="1673097436">
                      <w:marLeft w:val="0"/>
                      <w:marRight w:val="0"/>
                      <w:marTop w:val="0"/>
                      <w:marBottom w:val="750"/>
                      <w:divBdr>
                        <w:top w:val="none" w:sz="0" w:space="0" w:color="auto"/>
                        <w:left w:val="none" w:sz="0" w:space="0" w:color="auto"/>
                        <w:bottom w:val="none" w:sz="0" w:space="0" w:color="auto"/>
                        <w:right w:val="none" w:sz="0" w:space="0" w:color="auto"/>
                      </w:divBdr>
                    </w:div>
                    <w:div w:id="597715879">
                      <w:marLeft w:val="0"/>
                      <w:marRight w:val="0"/>
                      <w:marTop w:val="0"/>
                      <w:marBottom w:val="0"/>
                      <w:divBdr>
                        <w:top w:val="none" w:sz="0" w:space="0" w:color="auto"/>
                        <w:left w:val="none" w:sz="0" w:space="0" w:color="auto"/>
                        <w:bottom w:val="none" w:sz="0" w:space="0" w:color="auto"/>
                        <w:right w:val="none" w:sz="0" w:space="0" w:color="auto"/>
                      </w:divBdr>
                      <w:divsChild>
                        <w:div w:id="559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65384">
      <w:bodyDiv w:val="1"/>
      <w:marLeft w:val="0"/>
      <w:marRight w:val="0"/>
      <w:marTop w:val="0"/>
      <w:marBottom w:val="0"/>
      <w:divBdr>
        <w:top w:val="none" w:sz="0" w:space="0" w:color="auto"/>
        <w:left w:val="none" w:sz="0" w:space="0" w:color="auto"/>
        <w:bottom w:val="none" w:sz="0" w:space="0" w:color="auto"/>
        <w:right w:val="none" w:sz="0" w:space="0" w:color="auto"/>
      </w:divBdr>
    </w:div>
    <w:div w:id="1909920642">
      <w:bodyDiv w:val="1"/>
      <w:marLeft w:val="0"/>
      <w:marRight w:val="0"/>
      <w:marTop w:val="0"/>
      <w:marBottom w:val="0"/>
      <w:divBdr>
        <w:top w:val="none" w:sz="0" w:space="0" w:color="auto"/>
        <w:left w:val="none" w:sz="0" w:space="0" w:color="auto"/>
        <w:bottom w:val="none" w:sz="0" w:space="0" w:color="auto"/>
        <w:right w:val="none" w:sz="0" w:space="0" w:color="auto"/>
      </w:divBdr>
      <w:divsChild>
        <w:div w:id="2029484026">
          <w:marLeft w:val="-225"/>
          <w:marRight w:val="-225"/>
          <w:marTop w:val="0"/>
          <w:marBottom w:val="0"/>
          <w:divBdr>
            <w:top w:val="none" w:sz="0" w:space="0" w:color="auto"/>
            <w:left w:val="none" w:sz="0" w:space="0" w:color="auto"/>
            <w:bottom w:val="none" w:sz="0" w:space="0" w:color="auto"/>
            <w:right w:val="none" w:sz="0" w:space="0" w:color="auto"/>
          </w:divBdr>
          <w:divsChild>
            <w:div w:id="2136362817">
              <w:marLeft w:val="0"/>
              <w:marRight w:val="0"/>
              <w:marTop w:val="0"/>
              <w:marBottom w:val="0"/>
              <w:divBdr>
                <w:top w:val="none" w:sz="0" w:space="0" w:color="auto"/>
                <w:left w:val="none" w:sz="0" w:space="0" w:color="auto"/>
                <w:bottom w:val="none" w:sz="0" w:space="0" w:color="auto"/>
                <w:right w:val="none" w:sz="0" w:space="0" w:color="auto"/>
              </w:divBdr>
              <w:divsChild>
                <w:div w:id="1422675219">
                  <w:marLeft w:val="0"/>
                  <w:marRight w:val="0"/>
                  <w:marTop w:val="0"/>
                  <w:marBottom w:val="0"/>
                  <w:divBdr>
                    <w:top w:val="none" w:sz="0" w:space="0" w:color="auto"/>
                    <w:left w:val="none" w:sz="0" w:space="0" w:color="auto"/>
                    <w:bottom w:val="none" w:sz="0" w:space="0" w:color="auto"/>
                    <w:right w:val="none" w:sz="0" w:space="0" w:color="auto"/>
                  </w:divBdr>
                </w:div>
              </w:divsChild>
            </w:div>
            <w:div w:id="524561734">
              <w:marLeft w:val="0"/>
              <w:marRight w:val="0"/>
              <w:marTop w:val="0"/>
              <w:marBottom w:val="0"/>
              <w:divBdr>
                <w:top w:val="none" w:sz="0" w:space="0" w:color="auto"/>
                <w:left w:val="none" w:sz="0" w:space="0" w:color="auto"/>
                <w:bottom w:val="none" w:sz="0" w:space="0" w:color="auto"/>
                <w:right w:val="none" w:sz="0" w:space="0" w:color="auto"/>
              </w:divBdr>
            </w:div>
          </w:divsChild>
        </w:div>
        <w:div w:id="1471097709">
          <w:marLeft w:val="-225"/>
          <w:marRight w:val="-225"/>
          <w:marTop w:val="0"/>
          <w:marBottom w:val="0"/>
          <w:divBdr>
            <w:top w:val="none" w:sz="0" w:space="0" w:color="auto"/>
            <w:left w:val="none" w:sz="0" w:space="0" w:color="auto"/>
            <w:bottom w:val="none" w:sz="0" w:space="0" w:color="auto"/>
            <w:right w:val="none" w:sz="0" w:space="0" w:color="auto"/>
          </w:divBdr>
          <w:divsChild>
            <w:div w:id="183444458">
              <w:marLeft w:val="225"/>
              <w:marRight w:val="225"/>
              <w:marTop w:val="0"/>
              <w:marBottom w:val="0"/>
              <w:divBdr>
                <w:top w:val="single" w:sz="6" w:space="0" w:color="B1B4B6"/>
                <w:left w:val="none" w:sz="0" w:space="0" w:color="auto"/>
                <w:bottom w:val="none" w:sz="0" w:space="0" w:color="auto"/>
                <w:right w:val="none" w:sz="0" w:space="0" w:color="auto"/>
              </w:divBdr>
              <w:divsChild>
                <w:div w:id="769163263">
                  <w:marLeft w:val="0"/>
                  <w:marRight w:val="0"/>
                  <w:marTop w:val="0"/>
                  <w:marBottom w:val="0"/>
                  <w:divBdr>
                    <w:top w:val="none" w:sz="0" w:space="0" w:color="auto"/>
                    <w:left w:val="none" w:sz="0" w:space="0" w:color="auto"/>
                    <w:bottom w:val="none" w:sz="0" w:space="0" w:color="auto"/>
                    <w:right w:val="none" w:sz="0" w:space="0" w:color="auto"/>
                  </w:divBdr>
                  <w:divsChild>
                    <w:div w:id="1541434283">
                      <w:marLeft w:val="0"/>
                      <w:marRight w:val="0"/>
                      <w:marTop w:val="0"/>
                      <w:marBottom w:val="750"/>
                      <w:divBdr>
                        <w:top w:val="none" w:sz="0" w:space="0" w:color="auto"/>
                        <w:left w:val="none" w:sz="0" w:space="0" w:color="auto"/>
                        <w:bottom w:val="none" w:sz="0" w:space="0" w:color="auto"/>
                        <w:right w:val="none" w:sz="0" w:space="0" w:color="auto"/>
                      </w:divBdr>
                      <w:divsChild>
                        <w:div w:id="1561598182">
                          <w:marLeft w:val="0"/>
                          <w:marRight w:val="0"/>
                          <w:marTop w:val="0"/>
                          <w:marBottom w:val="0"/>
                          <w:divBdr>
                            <w:top w:val="none" w:sz="0" w:space="0" w:color="auto"/>
                            <w:left w:val="none" w:sz="0" w:space="0" w:color="auto"/>
                            <w:bottom w:val="none" w:sz="0" w:space="0" w:color="auto"/>
                            <w:right w:val="none" w:sz="0" w:space="0" w:color="auto"/>
                          </w:divBdr>
                        </w:div>
                        <w:div w:id="9607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49763">
          <w:marLeft w:val="-225"/>
          <w:marRight w:val="-225"/>
          <w:marTop w:val="0"/>
          <w:marBottom w:val="0"/>
          <w:divBdr>
            <w:top w:val="none" w:sz="0" w:space="0" w:color="auto"/>
            <w:left w:val="none" w:sz="0" w:space="0" w:color="auto"/>
            <w:bottom w:val="none" w:sz="0" w:space="0" w:color="auto"/>
            <w:right w:val="none" w:sz="0" w:space="0" w:color="auto"/>
          </w:divBdr>
          <w:divsChild>
            <w:div w:id="1772166720">
              <w:marLeft w:val="0"/>
              <w:marRight w:val="0"/>
              <w:marTop w:val="0"/>
              <w:marBottom w:val="0"/>
              <w:divBdr>
                <w:top w:val="none" w:sz="0" w:space="0" w:color="auto"/>
                <w:left w:val="none" w:sz="0" w:space="0" w:color="auto"/>
                <w:bottom w:val="none" w:sz="0" w:space="0" w:color="auto"/>
                <w:right w:val="none" w:sz="0" w:space="0" w:color="auto"/>
              </w:divBdr>
              <w:divsChild>
                <w:div w:id="1353452304">
                  <w:marLeft w:val="0"/>
                  <w:marRight w:val="0"/>
                  <w:marTop w:val="0"/>
                  <w:marBottom w:val="0"/>
                  <w:divBdr>
                    <w:top w:val="none" w:sz="0" w:space="0" w:color="auto"/>
                    <w:left w:val="none" w:sz="0" w:space="0" w:color="auto"/>
                    <w:bottom w:val="none" w:sz="0" w:space="0" w:color="auto"/>
                    <w:right w:val="none" w:sz="0" w:space="0" w:color="auto"/>
                  </w:divBdr>
                  <w:divsChild>
                    <w:div w:id="1075007367">
                      <w:marLeft w:val="0"/>
                      <w:marRight w:val="0"/>
                      <w:marTop w:val="0"/>
                      <w:marBottom w:val="750"/>
                      <w:divBdr>
                        <w:top w:val="none" w:sz="0" w:space="0" w:color="auto"/>
                        <w:left w:val="none" w:sz="0" w:space="0" w:color="auto"/>
                        <w:bottom w:val="none" w:sz="0" w:space="0" w:color="auto"/>
                        <w:right w:val="none" w:sz="0" w:space="0" w:color="auto"/>
                      </w:divBdr>
                    </w:div>
                    <w:div w:id="450435836">
                      <w:marLeft w:val="0"/>
                      <w:marRight w:val="0"/>
                      <w:marTop w:val="0"/>
                      <w:marBottom w:val="0"/>
                      <w:divBdr>
                        <w:top w:val="none" w:sz="0" w:space="0" w:color="auto"/>
                        <w:left w:val="none" w:sz="0" w:space="0" w:color="auto"/>
                        <w:bottom w:val="none" w:sz="0" w:space="0" w:color="auto"/>
                        <w:right w:val="none" w:sz="0" w:space="0" w:color="auto"/>
                      </w:divBdr>
                      <w:divsChild>
                        <w:div w:id="18035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hs-test-and-trace-workplace-guidance" TargetMode="External"/><Relationship Id="rId3" Type="http://schemas.openxmlformats.org/officeDocument/2006/relationships/settings" Target="settings.xml"/><Relationship Id="rId7" Type="http://schemas.openxmlformats.org/officeDocument/2006/relationships/hyperlink" Target="https://www.gov.uk/guidance/working-safely-during-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working-safely-during-coronavirus-covid-19" TargetMode="External"/><Relationship Id="rId5" Type="http://schemas.openxmlformats.org/officeDocument/2006/relationships/hyperlink" Target="https://www.gov.uk/guidance/working-safely-during-coronavirus-covid-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Stephanie Price</cp:lastModifiedBy>
  <cp:revision>2</cp:revision>
  <dcterms:created xsi:type="dcterms:W3CDTF">2020-06-01T08:56:00Z</dcterms:created>
  <dcterms:modified xsi:type="dcterms:W3CDTF">2020-06-01T08:56:00Z</dcterms:modified>
</cp:coreProperties>
</file>